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459" w:type="dxa"/>
        <w:tblLook w:val="000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173AF"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8E4F29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«О бюджете Зимовниковского сельского поселения Зимовниковского района на 2017 год и на плановый</w:t>
            </w:r>
            <w:r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2018 и 2019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  Зимовниковского сельского поселения</w:t>
            </w:r>
          </w:p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/>
      </w:tblPr>
      <w:tblGrid>
        <w:gridCol w:w="1418"/>
        <w:gridCol w:w="3118"/>
        <w:gridCol w:w="6237"/>
      </w:tblGrid>
      <w:tr w:rsidR="008E4F29" w:rsidRPr="00034409" w:rsidTr="00987C34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1" w:name="RANGE!A1:C85"/>
            <w:r w:rsidRPr="00034409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425600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600" w:rsidRPr="00425600" w:rsidRDefault="00FA590B" w:rsidP="00FA59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600" w:rsidRPr="00425600" w:rsidRDefault="00FA590B" w:rsidP="00425600">
            <w:pPr>
              <w:jc w:val="center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Средства, получаемые от передачи имущества, </w:t>
            </w:r>
            <w:r>
              <w:rPr>
                <w:sz w:val="28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Доходы от эксплуатации и использования </w:t>
            </w:r>
            <w:proofErr w:type="gramStart"/>
            <w:r>
              <w:rPr>
                <w:sz w:val="28"/>
              </w:rPr>
              <w:t>имущества</w:t>
            </w:r>
            <w:proofErr w:type="gramEnd"/>
            <w:r>
              <w:rPr>
                <w:sz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611942" w:rsidRDefault="00FA590B" w:rsidP="00592E3E">
            <w:pPr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>
              <w:rPr>
                <w:sz w:val="28"/>
              </w:rPr>
              <w:lastRenderedPageBreak/>
              <w:t>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1 14 04050 10 0000 420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 xml:space="preserve">Доходы от продажи нематериальных активов, находящихся в собственности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AC579A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3948" w:rsidRDefault="00FA590B" w:rsidP="00592E3E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1 15 02050 10 0000 140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 xml:space="preserve">Платежи, взимаемые </w:t>
            </w:r>
            <w:r w:rsidRPr="00FD72AD">
              <w:rPr>
                <w:sz w:val="28"/>
              </w:rPr>
              <w:t>органами управления</w:t>
            </w:r>
            <w:r>
              <w:rPr>
                <w:sz w:val="28"/>
              </w:rPr>
              <w:t xml:space="preserve"> (организациями) сельских поселений за выполнение определенных функций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C8146A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1 16 21050 10 0000 140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85B4E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B4AF5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212B69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C25679" w:rsidP="00592E3E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2713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2 02 45147 10 0000 151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 w:rsidRPr="004360ED">
              <w:rPr>
                <w:sz w:val="28"/>
              </w:rPr>
              <w:t>Межбюджетные трансферты, передаваемые бюджетам сельских поселений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EA3DF7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Pr="00D66504" w:rsidRDefault="00EA3DF7" w:rsidP="005C7FEC">
            <w:pPr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Default="00EA3DF7" w:rsidP="005C7FEC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3DF7" w:rsidRDefault="00EA3DF7" w:rsidP="005C7FEC">
            <w:pPr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592E3E">
            <w:pPr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3B777D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592E3E">
            <w:pPr>
              <w:rPr>
                <w:sz w:val="28"/>
                <w:highlight w:val="darkYellow"/>
              </w:rPr>
            </w:pPr>
            <w:r w:rsidRPr="00D0034E">
              <w:rPr>
                <w:sz w:val="28"/>
              </w:rPr>
              <w:t xml:space="preserve">2 08 05000 </w:t>
            </w:r>
            <w:r w:rsidRPr="00D0034E">
              <w:rPr>
                <w:sz w:val="28"/>
                <w:lang w:val="en-US"/>
              </w:rPr>
              <w:t>10</w:t>
            </w:r>
            <w:r w:rsidRPr="00D0034E">
              <w:rPr>
                <w:sz w:val="28"/>
              </w:rPr>
              <w:t> 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Перечисления из бюджетов сельских поселений (в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бюджеты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сельских поселений) для осуществления возврата (зачета)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налогов, сборов и иных платежей, а также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процентов за несвоевременное осуществление такого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возврата и процентов, начисленных </w:t>
            </w:r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</w:rPr>
              <w:t>на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излишне</w:t>
            </w:r>
          </w:p>
          <w:p w:rsidR="00FA590B" w:rsidRPr="001610B9" w:rsidRDefault="00FA590B" w:rsidP="00592E3E">
            <w:pPr>
              <w:rPr>
                <w:sz w:val="28"/>
                <w:highlight w:val="darkYellow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DD5D19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DD5D19" w:rsidP="00592E3E">
            <w:pPr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76D" w:rsidRDefault="001B376D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–</w:t>
            </w:r>
          </w:p>
          <w:p w:rsidR="00C25679" w:rsidRPr="00C25679" w:rsidRDefault="001B376D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Зимовниковского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сельского поселения</w:t>
            </w:r>
            <w:r w:rsidR="00C25679" w:rsidRPr="00C25679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</w:t>
            </w:r>
            <w:r w:rsidR="00C25679" w:rsidRPr="00C25679">
              <w:rPr>
                <w:sz w:val="28"/>
                <w:szCs w:val="28"/>
              </w:rPr>
              <w:t xml:space="preserve">                </w:t>
            </w:r>
            <w:r w:rsidR="00C25679">
              <w:rPr>
                <w:sz w:val="28"/>
                <w:szCs w:val="28"/>
              </w:rPr>
              <w:t xml:space="preserve">           </w:t>
            </w:r>
            <w:r w:rsidR="00C25679" w:rsidRPr="00C25679">
              <w:rPr>
                <w:sz w:val="28"/>
                <w:szCs w:val="28"/>
              </w:rPr>
              <w:t xml:space="preserve">     </w:t>
            </w:r>
            <w:r w:rsidR="00C25679">
              <w:rPr>
                <w:sz w:val="28"/>
                <w:szCs w:val="28"/>
              </w:rPr>
              <w:t>А. Е. Кадин</w:t>
            </w:r>
          </w:p>
          <w:p w:rsidR="00987C34" w:rsidRPr="00626735" w:rsidRDefault="00987C34" w:rsidP="00CB03B5">
            <w:pPr>
              <w:rPr>
                <w:sz w:val="28"/>
                <w:szCs w:val="28"/>
              </w:rPr>
            </w:pP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7"/>
      <w:footerReference w:type="default" r:id="rId8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953" w:rsidRDefault="00554953" w:rsidP="008E4F29">
      <w:r>
        <w:separator/>
      </w:r>
    </w:p>
  </w:endnote>
  <w:endnote w:type="continuationSeparator" w:id="0">
    <w:p w:rsidR="00554953" w:rsidRDefault="00554953" w:rsidP="008E4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693002"/>
      <w:docPartObj>
        <w:docPartGallery w:val="Page Numbers (Bottom of Page)"/>
        <w:docPartUnique/>
      </w:docPartObj>
    </w:sdtPr>
    <w:sdtContent>
      <w:p w:rsidR="00C00566" w:rsidRDefault="00C00566">
        <w:pPr>
          <w:pStyle w:val="a7"/>
          <w:jc w:val="right"/>
        </w:pPr>
      </w:p>
      <w:p w:rsidR="00C00566" w:rsidRDefault="00C0267C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953" w:rsidRDefault="00554953" w:rsidP="008E4F29">
      <w:r>
        <w:separator/>
      </w:r>
    </w:p>
  </w:footnote>
  <w:footnote w:type="continuationSeparator" w:id="0">
    <w:p w:rsidR="00554953" w:rsidRDefault="00554953" w:rsidP="008E4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6"/>
      <w:docPartObj>
        <w:docPartGallery w:val="Page Numbers (Top of Page)"/>
        <w:docPartUnique/>
      </w:docPartObj>
    </w:sdtPr>
    <w:sdtContent>
      <w:p w:rsidR="00C00566" w:rsidRDefault="00C0267C">
        <w:pPr>
          <w:pStyle w:val="a5"/>
          <w:jc w:val="center"/>
        </w:pPr>
        <w:r>
          <w:fldChar w:fldCharType="begin"/>
        </w:r>
        <w:r w:rsidR="00325D3C">
          <w:instrText xml:space="preserve"> PAGE   \* MERGEFORMAT </w:instrText>
        </w:r>
        <w:r>
          <w:fldChar w:fldCharType="separate"/>
        </w:r>
        <w:r w:rsidR="001B376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4F29"/>
    <w:rsid w:val="00045B58"/>
    <w:rsid w:val="00067FC9"/>
    <w:rsid w:val="0008785E"/>
    <w:rsid w:val="00094C48"/>
    <w:rsid w:val="000B4292"/>
    <w:rsid w:val="00112BE8"/>
    <w:rsid w:val="001136FA"/>
    <w:rsid w:val="00114E1D"/>
    <w:rsid w:val="00123AEA"/>
    <w:rsid w:val="001513C2"/>
    <w:rsid w:val="001822F9"/>
    <w:rsid w:val="001929FE"/>
    <w:rsid w:val="00193CB9"/>
    <w:rsid w:val="001B376D"/>
    <w:rsid w:val="001F5E36"/>
    <w:rsid w:val="00222FE7"/>
    <w:rsid w:val="0023368A"/>
    <w:rsid w:val="00277ED4"/>
    <w:rsid w:val="00300BE6"/>
    <w:rsid w:val="00324979"/>
    <w:rsid w:val="00325D3C"/>
    <w:rsid w:val="00352B23"/>
    <w:rsid w:val="00393036"/>
    <w:rsid w:val="003A5197"/>
    <w:rsid w:val="003D585D"/>
    <w:rsid w:val="00425600"/>
    <w:rsid w:val="00426267"/>
    <w:rsid w:val="0043080E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953"/>
    <w:rsid w:val="00554B69"/>
    <w:rsid w:val="00556023"/>
    <w:rsid w:val="0057392E"/>
    <w:rsid w:val="00596237"/>
    <w:rsid w:val="005B2574"/>
    <w:rsid w:val="005C6E90"/>
    <w:rsid w:val="005D2E72"/>
    <w:rsid w:val="005D3B8E"/>
    <w:rsid w:val="005F7E99"/>
    <w:rsid w:val="00656E94"/>
    <w:rsid w:val="0067190B"/>
    <w:rsid w:val="006C7047"/>
    <w:rsid w:val="006F5518"/>
    <w:rsid w:val="00795040"/>
    <w:rsid w:val="007A248D"/>
    <w:rsid w:val="007C3A85"/>
    <w:rsid w:val="007D6D07"/>
    <w:rsid w:val="007F752E"/>
    <w:rsid w:val="00817B12"/>
    <w:rsid w:val="008766DF"/>
    <w:rsid w:val="008943E8"/>
    <w:rsid w:val="00895968"/>
    <w:rsid w:val="008D486A"/>
    <w:rsid w:val="008E4F29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F4C13"/>
    <w:rsid w:val="00B213DE"/>
    <w:rsid w:val="00BA2A33"/>
    <w:rsid w:val="00BF2518"/>
    <w:rsid w:val="00C00566"/>
    <w:rsid w:val="00C01749"/>
    <w:rsid w:val="00C0267C"/>
    <w:rsid w:val="00C25679"/>
    <w:rsid w:val="00C624EC"/>
    <w:rsid w:val="00C81E69"/>
    <w:rsid w:val="00CA6D4A"/>
    <w:rsid w:val="00CB03B5"/>
    <w:rsid w:val="00CE0FE6"/>
    <w:rsid w:val="00CF1A2A"/>
    <w:rsid w:val="00CF2C45"/>
    <w:rsid w:val="00D0034E"/>
    <w:rsid w:val="00D21195"/>
    <w:rsid w:val="00D22583"/>
    <w:rsid w:val="00D62A34"/>
    <w:rsid w:val="00DD5D19"/>
    <w:rsid w:val="00E46154"/>
    <w:rsid w:val="00E52F1A"/>
    <w:rsid w:val="00EA3DF7"/>
    <w:rsid w:val="00EA6BEE"/>
    <w:rsid w:val="00EB7AF5"/>
    <w:rsid w:val="00ED755A"/>
    <w:rsid w:val="00EE322F"/>
    <w:rsid w:val="00F173AF"/>
    <w:rsid w:val="00F402B2"/>
    <w:rsid w:val="00F632FA"/>
    <w:rsid w:val="00F82507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CA39D-C88E-4B59-8F69-43C758ECE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Сергей</cp:lastModifiedBy>
  <cp:revision>11</cp:revision>
  <cp:lastPrinted>2016-12-27T06:21:00Z</cp:lastPrinted>
  <dcterms:created xsi:type="dcterms:W3CDTF">2016-11-22T06:19:00Z</dcterms:created>
  <dcterms:modified xsi:type="dcterms:W3CDTF">2016-12-27T06:22:00Z</dcterms:modified>
</cp:coreProperties>
</file>