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Перечень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налоговых расходов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>, обусловленных налоговыми льготами, освобождениями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и иными преференциями по налогам, предусмотренными в качестве мер государственной поддержки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в соответствии с целями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Зимовниковского сельского поселения на 2023 год</w:t>
      </w:r>
    </w:p>
    <w:p w14:paraId="0B000000">
      <w:pPr>
        <w:ind/>
        <w:jc w:val="center"/>
        <w:rPr>
          <w:sz w:val="28"/>
        </w:rPr>
      </w:pP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>
        <w:trPr>
          <w:trHeight w:hRule="atLeast" w:val="359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п/п</w:t>
            </w:r>
          </w:p>
          <w:p w14:paraId="0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Краткое наименование</w:t>
            </w:r>
          </w:p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налогового расхода</w:t>
            </w:r>
          </w:p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наименование налогового расхода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еквизиты нормативного правового акта </w:t>
            </w: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 устанавливающего налоговый расход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1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Целевая категория </w:t>
            </w:r>
            <w:r>
              <w:rPr>
                <w:sz w:val="24"/>
              </w:rPr>
              <w:t xml:space="preserve">налогового расхода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предусматриваю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 xml:space="preserve"> налоговые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подпрограммы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</w:p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предусматриваю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 xml:space="preserve"> налоговые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структурного элемента подпрограммы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</w:p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Зимовниковского сельского поселения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предусматриваю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 xml:space="preserve"> налоговые </w:t>
            </w:r>
            <w:r>
              <w:rPr>
                <w:sz w:val="24"/>
              </w:rPr>
              <w:t>расходы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куратора налогового расхода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Освобождение от уплаты земельного налога граждан Российской Федерации , </w:t>
            </w:r>
            <w:r>
              <w:rPr>
                <w:sz w:val="24"/>
              </w:rPr>
              <w:t xml:space="preserve">проживающих на территории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0"/>
              </w:rPr>
            </w:pPr>
            <w:r>
              <w:rPr>
                <w:sz w:val="20"/>
              </w:rPr>
              <w:t xml:space="preserve">Предоставить налоговую льготу в виде освобождения от уплаты земельного </w:t>
            </w:r>
            <w:r>
              <w:rPr>
                <w:sz w:val="20"/>
              </w:rPr>
              <w:t xml:space="preserve">налога </w:t>
            </w:r>
            <w:r>
              <w:rPr>
                <w:sz w:val="20"/>
              </w:rPr>
              <w:t xml:space="preserve">за земельные участки </w:t>
            </w:r>
            <w:r>
              <w:rPr>
                <w:sz w:val="20"/>
              </w:rPr>
              <w:t>под индивидуальным жилищным строением, для</w:t>
            </w:r>
            <w:r>
              <w:rPr>
                <w:sz w:val="20"/>
              </w:rPr>
              <w:t xml:space="preserve"> индивидуал</w:t>
            </w:r>
            <w:r>
              <w:rPr>
                <w:sz w:val="20"/>
              </w:rPr>
              <w:t>ьного</w:t>
            </w:r>
            <w:r>
              <w:rPr>
                <w:sz w:val="20"/>
              </w:rPr>
              <w:t xml:space="preserve"> жилищн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 xml:space="preserve"> стро</w:t>
            </w:r>
            <w:r>
              <w:rPr>
                <w:sz w:val="20"/>
              </w:rPr>
              <w:t>ительства,</w:t>
            </w:r>
            <w:r>
              <w:rPr>
                <w:sz w:val="20"/>
              </w:rPr>
              <w:t xml:space="preserve"> для ведения личного подсобного хозяйства</w:t>
            </w:r>
            <w:r>
              <w:rPr>
                <w:sz w:val="20"/>
              </w:rPr>
              <w:t xml:space="preserve"> или создания крестьянского фермерского хозяйства</w:t>
            </w:r>
            <w:r>
              <w:rPr>
                <w:sz w:val="20"/>
              </w:rPr>
              <w:t xml:space="preserve">, гражданам Российской Федерации, проживающим на территории Зимовниковского сельского поселения </w:t>
            </w:r>
            <w:r>
              <w:rPr>
                <w:sz w:val="20"/>
              </w:rPr>
              <w:t xml:space="preserve">в течение не менее чем 5 лет, имеющие трех и более усыновленных (удочеренных), а также находящихся под опекой или попечительством, несовершеннолетних детей </w:t>
            </w:r>
            <w:r>
              <w:rPr>
                <w:sz w:val="20"/>
              </w:rPr>
              <w:t>и совместно проживающие с</w:t>
            </w:r>
            <w:r>
              <w:rPr>
                <w:sz w:val="20"/>
              </w:rPr>
              <w:t xml:space="preserve"> н</w:t>
            </w:r>
            <w:r>
              <w:rPr>
                <w:sz w:val="20"/>
              </w:rPr>
              <w:t>ими</w:t>
            </w:r>
            <w:r>
              <w:rPr>
                <w:sz w:val="20"/>
              </w:rPr>
              <w:t>, при условии воспитания этих детей не</w:t>
            </w:r>
            <w:r>
              <w:rPr>
                <w:sz w:val="20"/>
              </w:rPr>
              <w:t xml:space="preserve"> менее 3 лет, в отношении земельных участков, приобретенных ими бесплатно в собственность для индивидуального жилищного строительства или ведения личного подсобного хозяйства в соответствии со статьей 8.2 Областно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 xml:space="preserve"> закона Ростовской области от 22.07.2003 № 19-ЗС «О регулировании земельных о</w:t>
            </w:r>
            <w:r>
              <w:rPr>
                <w:sz w:val="20"/>
              </w:rPr>
              <w:t>тношений в Ростовской области»;</w:t>
            </w:r>
            <w:r>
              <w:rPr>
                <w:sz w:val="20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Решение Собрания депутатов Зимовниковского сельского поселения от 22.11.2019 г. «О земельном налог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жизни граждан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получателей мер социальной поддержки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  <w:r>
              <w:t xml:space="preserve">От уплаты </w:t>
            </w:r>
            <w:r>
              <w:t>земельного налога освобождаются г</w:t>
            </w:r>
            <w:r>
              <w:t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</w:t>
            </w:r>
            <w:r>
              <w:t>усыновители).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708" w:left="0"/>
            </w:pPr>
            <w:r>
              <w:rPr>
                <w:i w:val="1"/>
              </w:rPr>
              <w:t xml:space="preserve"> </w:t>
            </w:r>
            <w:r>
              <w:t xml:space="preserve">От уплаты </w:t>
            </w:r>
            <w:r>
              <w:t>земельного налога освобождаются г</w:t>
            </w:r>
            <w:r>
              <w:t xml:space="preserve">раждане, призванные на военную службу по мобилизации в Вооруженные Силы Российской Федерации, </w:t>
            </w:r>
            <w:r>
              <w:t>граждане, заключившие на территории Росто</w:t>
            </w:r>
            <w:r>
              <w:t>в</w:t>
            </w:r>
            <w:r>
              <w:t>ской области в связи с участием в специальной военной операции контракт о прохождении военной службы или контракт о пребывании в</w:t>
            </w:r>
            <w:r>
              <w:t xml:space="preserve"> </w:t>
            </w:r>
            <w:r>
              <w:t>добровольч</w:t>
            </w:r>
            <w:r>
              <w:t>е</w:t>
            </w:r>
            <w:r>
              <w:t>ском формировании (о добровольном содействии в</w:t>
            </w:r>
            <w:r>
              <w:t xml:space="preserve"> </w:t>
            </w:r>
            <w:r>
              <w:t>выполнении задач, во</w:t>
            </w:r>
            <w:r>
              <w:t>з</w:t>
            </w:r>
            <w:r>
              <w:t>ложенных на Вооруженные Силы Российской Фед</w:t>
            </w:r>
            <w:r>
              <w:t>е</w:t>
            </w:r>
            <w:r>
              <w:t>рации</w:t>
            </w:r>
            <w:r>
              <w:t xml:space="preserve"> а также их супруга (супруг), несовершеннолетние дети, родители (</w:t>
            </w:r>
            <w:r>
              <w:t>усыновители).</w:t>
            </w:r>
          </w:p>
          <w:p w14:paraId="3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Физические лица</w:t>
            </w:r>
          </w:p>
          <w:p w14:paraId="3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  <w:p w14:paraId="3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жизни граждан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получателей мер социальной поддержки</w:t>
            </w:r>
          </w:p>
          <w:p w14:paraId="3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14:paraId="3E000000">
            <w:pPr>
              <w:ind/>
              <w:jc w:val="center"/>
              <w:rPr>
                <w:sz w:val="24"/>
              </w:rPr>
            </w:pPr>
          </w:p>
        </w:tc>
      </w:tr>
    </w:tbl>
    <w:p w14:paraId="3F000000">
      <w:pPr>
        <w:sectPr>
          <w:footerReference r:id="rId1" w:type="first"/>
          <w:footerReference r:id="rId3" w:type="default"/>
          <w:pgSz w:h="11906" w:orient="landscape" w:w="16838"/>
          <w:pgMar w:bottom="851" w:footer="709" w:gutter="0" w:header="709" w:left="1134" w:right="851" w:top="1135"/>
          <w:titlePg/>
        </w:sectPr>
      </w:pPr>
    </w:p>
    <w:p w14:paraId="40000000">
      <w:pPr>
        <w:ind/>
        <w:outlineLvl w:val="0"/>
        <w:rPr>
          <w:sz w:val="28"/>
        </w:rPr>
      </w:pPr>
    </w:p>
    <w:sectPr>
      <w:footerReference r:id="rId2" w:type="first"/>
      <w:footerReference r:id="rId4" w:type="default"/>
      <w:pgSz w:h="16838" w:orient="portrait" w:w="11906"/>
      <w:pgMar w:bottom="1134" w:footer="709" w:gutter="0" w:header="709" w:left="1304" w:right="566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5000000">
    <w:pPr>
      <w:pStyle w:val="Style_1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4"/>
    <w:link w:val="Style_9_ch"/>
    <w:pPr>
      <w:tabs>
        <w:tab w:leader="none" w:pos="4153" w:val="center"/>
        <w:tab w:leader="none" w:pos="8306" w:val="right"/>
      </w:tabs>
      <w:ind/>
    </w:pPr>
  </w:style>
  <w:style w:styleId="Style_9_ch" w:type="character">
    <w:name w:val="header"/>
    <w:basedOn w:val="Style_4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2" w:type="paragraph">
    <w:name w:val="ConsPlusNormal"/>
    <w:link w:val="Style_12_ch"/>
    <w:pPr>
      <w:widowControl w:val="0"/>
      <w:ind/>
    </w:pPr>
    <w:rPr>
      <w:rFonts w:ascii="Calibri" w:hAnsi="Calibri"/>
      <w:sz w:val="22"/>
    </w:rPr>
  </w:style>
  <w:style w:styleId="Style_12_ch" w:type="character">
    <w:name w:val="ConsPlusNormal"/>
    <w:link w:val="Style_12"/>
    <w:rPr>
      <w:rFonts w:ascii="Calibri" w:hAnsi="Calibri"/>
      <w:sz w:val="22"/>
    </w:rPr>
  </w:style>
  <w:style w:styleId="Style_13" w:type="paragraph">
    <w:name w:val="Знак"/>
    <w:basedOn w:val="Style_4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"/>
    <w:basedOn w:val="Style_4_ch"/>
    <w:link w:val="Style_13"/>
    <w:rPr>
      <w:rFonts w:ascii="Tahoma" w:hAnsi="Tahoma"/>
    </w:rPr>
  </w:style>
  <w:style w:styleId="Style_14" w:type="paragraph">
    <w:name w:val="Postan"/>
    <w:basedOn w:val="Style_4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4_ch"/>
    <w:link w:val="Style_14"/>
    <w:rPr>
      <w:sz w:val="28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List Paragraph"/>
    <w:basedOn w:val="Style_4"/>
    <w:link w:val="Style_17_ch"/>
    <w:pPr>
      <w:ind w:firstLine="0" w:left="720"/>
      <w:contextualSpacing w:val="1"/>
    </w:pPr>
  </w:style>
  <w:style w:styleId="Style_17_ch" w:type="character">
    <w:name w:val="List Paragraph"/>
    <w:basedOn w:val="Style_4_ch"/>
    <w:link w:val="Style_17"/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8_ch" w:type="character">
    <w:name w:val="heading 1"/>
    <w:basedOn w:val="Style_4_ch"/>
    <w:link w:val="Style_18"/>
    <w:rPr>
      <w:rFonts w:ascii="AG Souvenir" w:hAnsi="AG Souvenir"/>
      <w:b w:val="1"/>
      <w:spacing w:val="38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Calibri" w:hAnsi="Calibri"/>
      <w:b w:val="1"/>
      <w:sz w:val="22"/>
    </w:rPr>
  </w:style>
  <w:style w:styleId="Style_25_ch" w:type="character">
    <w:name w:val="ConsPlusTitle"/>
    <w:link w:val="Style_25"/>
    <w:rPr>
      <w:rFonts w:ascii="Calibri" w:hAnsi="Calibri"/>
      <w:b w:val="1"/>
      <w:sz w:val="22"/>
    </w:rPr>
  </w:style>
  <w:style w:styleId="Style_26" w:type="paragraph">
    <w:name w:val="Body Text Indent"/>
    <w:basedOn w:val="Style_4"/>
    <w:link w:val="Style_26_ch"/>
    <w:pPr>
      <w:ind w:firstLine="709" w:left="0"/>
      <w:jc w:val="both"/>
    </w:pPr>
    <w:rPr>
      <w:sz w:val="28"/>
    </w:rPr>
  </w:style>
  <w:style w:styleId="Style_26_ch" w:type="character">
    <w:name w:val="Body Text Indent"/>
    <w:basedOn w:val="Style_4_ch"/>
    <w:link w:val="Style_26"/>
    <w:rPr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"/>
    <w:basedOn w:val="Style_4"/>
    <w:link w:val="Style_28_ch"/>
    <w:rPr>
      <w:sz w:val="28"/>
    </w:rPr>
  </w:style>
  <w:style w:styleId="Style_28_ch" w:type="character">
    <w:name w:val="Body Text"/>
    <w:basedOn w:val="Style_4_ch"/>
    <w:link w:val="Style_28"/>
    <w:rPr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4"/>
    <w:next w:val="Style_4"/>
    <w:link w:val="Style_32_ch"/>
    <w:uiPriority w:val="9"/>
    <w:qFormat/>
    <w:pPr>
      <w:keepNext w:val="1"/>
      <w:ind w:firstLine="0" w:left="709"/>
      <w:outlineLvl w:val="1"/>
    </w:pPr>
    <w:rPr>
      <w:sz w:val="28"/>
    </w:rPr>
  </w:style>
  <w:style w:styleId="Style_32_ch" w:type="character">
    <w:name w:val="heading 2"/>
    <w:basedOn w:val="Style_4_ch"/>
    <w:link w:val="Style_32"/>
    <w:rPr>
      <w:sz w:val="28"/>
    </w:rPr>
  </w:style>
  <w:style w:styleId="Style_33" w:type="paragraph">
    <w:name w:val="Balloon Text"/>
    <w:basedOn w:val="Style_4"/>
    <w:link w:val="Style_33_ch"/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Plain Text"/>
    <w:basedOn w:val="Style_4"/>
    <w:link w:val="Style_34_ch"/>
    <w:rPr>
      <w:rFonts w:ascii="Courier New" w:hAnsi="Courier New"/>
    </w:rPr>
  </w:style>
  <w:style w:styleId="Style_34_ch" w:type="character">
    <w:name w:val="Plain Text"/>
    <w:basedOn w:val="Style_4_ch"/>
    <w:link w:val="Style_34"/>
    <w:rPr>
      <w:rFonts w:ascii="Courier New" w:hAnsi="Courier New"/>
    </w:rPr>
  </w:style>
  <w:style w:styleId="Style_3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2024-08-07T12:00:37Z</dcterms:modified>
</cp:coreProperties>
</file>